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 введении новых штрафов в сфере оборота древесины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 1 января 2025 года вступили в силу изменения, внесенные в Кодекс Российской Федерации об административных правонарушениях Федеральным законом от 08.07.2024 № 165-ФЗ, которым введены новые штрафы в сфере оборота древесины.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Так, перевозка древесины или продукции ее переработки на автомобилях без технических средств контроля движения, которые обеспечивают оперативное получение формируемой в некорректируемом виде на основе использования сигналов глобальной навигационной спутниковой системы Российской Федерации информации, позволяющей установить координаты места нахождения таких транспортных средств, траекторию их движения, используют программное обеспечение, интегрированное с федеральной государственной информационной системой лесного комплекса, и передают в нее информацию в режиме реального времени, либо не передача информации о перемещении такого автомобильного транспорта в федеральную государственную информационную систему лесного комплекса, предусматривают штраф для юридических лиц – от 200 до 400 тысяч рублей, для индивидуальных предпринимателей – от 100 до 200 тысяч рублей, на должностных лиц – от 20 до 40 тысяч рублей.</w:t>
      </w: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Повторное совершение такого административного правонарушения предусматривает конфискацию древесины и (или) транспортных средств, являющихся орудием совершения административного правонарушения.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7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08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9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p w14:paraId="0A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2025-11-21T07:09:42Z</dcterms:modified>
</cp:coreProperties>
</file>